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b/>
          <w:sz w:val="28"/>
        </w:rPr>
        <w:t>DATA PROCESSING ADDENDUM</w:t>
      </w:r>
    </w:p>
    <w:p>
      <w:pPr>
        <w:jc w:val="both"/>
      </w:pPr>
      <w:r/>
      <w:r>
        <w:rPr>
          <w:b/>
        </w:rPr>
        <w:t>Between Sablefield Robotics, Inc. (“Customer” / Controller) and Wickline Perception, Inc. (“Processor”)</w:t>
      </w:r>
      <w:r/>
    </w:p>
    <w:p>
      <w:pPr>
        <w:ind w:left="576" w:right="576"/>
      </w:pPr>
      <w:r>
        <w:t>This Addendum governs Processor's processing of personal data contained in the image and video frames and associated metadata that Customer transmits to Processor's computer-vision platform. It supplements the parties' subscription agreement.</w:t>
      </w:r>
    </w:p>
    <w:p>
      <w:pPr>
        <w:spacing w:before="200"/>
      </w:pPr>
      <w:r>
        <w:rPr>
          <w:b/>
          <w:sz w:val="24"/>
        </w:rPr>
        <w:t>1. Definitions</w:t>
      </w:r>
    </w:p>
    <w:p>
      <w:pPr>
        <w:jc w:val="both"/>
      </w:pPr>
      <w:r>
        <w:t>“Customer Data” means the data Customer submits to the platform, including camera frames captured by Customer's robotic systems and any personal data depicted in or derived from them.</w:t>
      </w:r>
    </w:p>
    <w:p>
      <w:pPr>
        <w:spacing w:before="200"/>
      </w:pPr>
      <w:r>
        <w:rPr>
          <w:b/>
          <w:sz w:val="24"/>
        </w:rPr>
        <w:t>2. Processing</w:t>
      </w:r>
    </w:p>
    <w:p>
      <w:pPr>
        <w:jc w:val="both"/>
      </w:pPr>
      <w:r>
        <w:t>Processor shall process Customer Data to provide the perception and object-recognition services described in the subscription agreement.</w:t>
      </w:r>
    </w:p>
    <w:p>
      <w:pPr>
        <w:spacing w:before="200"/>
      </w:pPr>
      <w:r>
        <w:rPr>
          <w:b/>
          <w:sz w:val="24"/>
        </w:rPr>
        <w:t>3. Customer obligations</w:t>
      </w:r>
    </w:p>
    <w:p>
      <w:pPr>
        <w:jc w:val="both"/>
      </w:pPr>
      <w:r>
        <w:t>Customer is responsible for providing all notices and obtaining all consents required for Customer's collection of the Customer Data.</w:t>
      </w:r>
    </w:p>
    <w:p>
      <w:pPr>
        <w:spacing w:before="200"/>
      </w:pPr>
      <w:r>
        <w:rPr>
          <w:b/>
          <w:sz w:val="24"/>
        </w:rPr>
        <w:t>4. Use of data</w:t>
      </w:r>
    </w:p>
    <w:p>
      <w:pPr>
        <w:jc w:val="both"/>
      </w:pPr>
      <w:r>
        <w:t xml:space="preserve">In addition to providing the services, </w:t>
      </w:r>
      <w:r>
        <w:rPr>
          <w:b/>
        </w:rPr>
        <w:t>Processor may use Customer Data to develop, improve, and train its models, algorithms, products, and services</w:t>
      </w:r>
      <w:r>
        <w:t>, including after termination, provided that outputs are not attributed to Customer by name. This right survives termination of the subscription agreement.</w:t>
      </w:r>
    </w:p>
    <w:p>
      <w:pPr>
        <w:spacing w:before="200"/>
      </w:pPr>
      <w:r>
        <w:rPr>
          <w:b/>
          <w:sz w:val="24"/>
        </w:rPr>
        <w:t>5. Security</w:t>
      </w:r>
    </w:p>
    <w:p>
      <w:pPr>
        <w:jc w:val="both"/>
      </w:pPr>
      <w:r>
        <w:t xml:space="preserve">Processor shall protect Customer Data using </w:t>
      </w:r>
      <w:r>
        <w:rPr>
          <w:b/>
        </w:rPr>
        <w:t>industry-standard security measures.</w:t>
      </w:r>
      <w:r/>
    </w:p>
    <w:p>
      <w:pPr>
        <w:spacing w:before="200"/>
      </w:pPr>
      <w:r>
        <w:rPr>
          <w:b/>
          <w:sz w:val="24"/>
        </w:rPr>
        <w:t>6. Subprocessors</w:t>
      </w:r>
    </w:p>
    <w:p>
      <w:pPr>
        <w:jc w:val="both"/>
      </w:pPr>
      <w:r/>
      <w:r>
        <w:rPr>
          <w:b/>
        </w:rPr>
        <w:t>Processor may engage subprocessors as it deems necessary to provide the services.</w:t>
      </w:r>
      <w:r>
        <w:t xml:space="preserve"> A current description of subprocessors is available from Processor on request.</w:t>
      </w:r>
    </w:p>
    <w:p>
      <w:pPr>
        <w:spacing w:before="200"/>
      </w:pPr>
      <w:r>
        <w:rPr>
          <w:b/>
          <w:sz w:val="24"/>
        </w:rPr>
        <w:t>7. International processing</w:t>
      </w:r>
    </w:p>
    <w:p>
      <w:pPr>
        <w:jc w:val="both"/>
      </w:pPr>
      <w:r>
        <w:t xml:space="preserve">Customer acknowledges that Processor and its subprocessors </w:t>
      </w:r>
      <w:r>
        <w:rPr>
          <w:b/>
        </w:rPr>
        <w:t>process and store Customer Data on servers located in jurisdictions of Processor's choosing, which may include locations outside the United States and the European Economic Area.</w:t>
      </w:r>
      <w:r>
        <w:t xml:space="preserve"> Customer consents to such processing.</w:t>
      </w:r>
    </w:p>
    <w:p>
      <w:pPr>
        <w:spacing w:before="200"/>
      </w:pPr>
      <w:r>
        <w:rPr>
          <w:b/>
          <w:sz w:val="24"/>
        </w:rPr>
        <w:t>8. Data subject requests</w:t>
      </w:r>
    </w:p>
    <w:p>
      <w:pPr>
        <w:jc w:val="both"/>
      </w:pPr>
      <w:r>
        <w:t>Processor shall provide reasonable assistance to Customer in responding to data subject requests, at Customer's expense.</w:t>
      </w:r>
    </w:p>
    <w:p>
      <w:pPr>
        <w:spacing w:before="200"/>
      </w:pPr>
      <w:r>
        <w:rPr>
          <w:b/>
          <w:sz w:val="24"/>
        </w:rPr>
        <w:t>9. Deletion</w:t>
      </w:r>
    </w:p>
    <w:p>
      <w:pPr>
        <w:jc w:val="both"/>
      </w:pPr>
      <w:r>
        <w:t xml:space="preserve">Upon termination, Processor shall delete Customer Data within ninety (90) days, </w:t>
      </w:r>
      <w:r>
        <w:rPr>
          <w:b/>
        </w:rPr>
        <w:t>except for Customer Data incorporated into trained models and derived datasets, which Processor may retain.</w:t>
      </w:r>
      <w:r/>
    </w:p>
    <w:p>
      <w:pPr>
        <w:spacing w:before="200"/>
      </w:pPr>
      <w:r>
        <w:rPr>
          <w:b/>
          <w:sz w:val="24"/>
        </w:rPr>
        <w:t>10. Governing law</w:t>
      </w:r>
    </w:p>
    <w:p>
      <w:pPr>
        <w:jc w:val="both"/>
      </w:pPr>
      <w:r>
        <w:t>This Addendum is governed by the laws of the State of New York.</w:t>
      </w:r>
    </w:p>
    <w:p/>
    <w:p>
      <w:r>
        <w:rPr>
          <w:i/>
          <w:sz w:val="18"/>
        </w:rPr>
        <w:t>FICTIONAL TEACHING DOCUMENT — created for the “Claude for Legal: A Guided Tour” course (Vanderbilt AI Law Lab). Every party, name, term, and date is invented for practice. This is not legal advice and not a model agreement; it deliberately contains problematic clauses for a contract-review exercise. Free to reuse for learning; no warranty of any kind.</w:t>
      </w:r>
    </w:p>
    <w:sectPr w:rsidR="00FC693F" w:rsidRPr="0006063C" w:rsidSect="00034616">
      <w:pgSz w:w="12240" w:h="15840"/>
      <w:pgMar w:top="1440" w:right="1584" w:bottom="144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Times New Roman" w:hAnsi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wickline sablefield dpa</dc:title>
  <dc:subject/>
  <dc:creator>python-docx</dc:creator>
  <cp:keywords/>
  <dc:description>Fictional teaching document — Claude for Legal: A Guided Tour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