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b/>
          <w:sz w:val="28"/>
        </w:rPr>
        <w:t>DATA PROCESSING AGREEMENT</w:t>
      </w:r>
    </w:p>
    <w:p>
      <w:pPr>
        <w:jc w:val="both"/>
      </w:pPr>
      <w:r/>
      <w:r>
        <w:rPr>
          <w:b/>
        </w:rPr>
        <w:t>Between Tellermark Health, Inc. (“Controller”) and Sablefield Robotics, Inc. (“Processor”)</w:t>
      </w:r>
      <w:r/>
    </w:p>
    <w:p>
      <w:pPr>
        <w:ind w:left="576" w:right="576"/>
      </w:pPr>
      <w:r>
        <w:t>This Data Processing Agreement governs Processor's handling of personal data on Controller's behalf in connection with the GripSense robotic systems deployed at Controller's fulfillment and remote-monitoring sites. It forms part of the Master Services Agreement between the parties.</w:t>
      </w:r>
    </w:p>
    <w:p>
      <w:pPr>
        <w:spacing w:before="200"/>
      </w:pPr>
      <w:r>
        <w:rPr>
          <w:b/>
          <w:sz w:val="24"/>
        </w:rPr>
        <w:t>1. Roles</w:t>
      </w:r>
    </w:p>
    <w:p>
      <w:pPr>
        <w:jc w:val="both"/>
      </w:pPr>
      <w:r>
        <w:t>Controller determines the purposes and means of processing. Processor processes personal data only on Controller's documented instructions, including the personal data of Controller's warehouse and clinical personnel captured through device telemetry, app usage, and on-site cameras.</w:t>
      </w:r>
    </w:p>
    <w:p>
      <w:pPr>
        <w:spacing w:before="200"/>
      </w:pPr>
      <w:r>
        <w:rPr>
          <w:b/>
          <w:sz w:val="24"/>
        </w:rPr>
        <w:t>2. Scope of data</w:t>
      </w:r>
    </w:p>
    <w:p>
      <w:pPr>
        <w:jc w:val="both"/>
      </w:pPr>
      <w:r>
        <w:t xml:space="preserve">The personal data processed includes worker identifiers, location and movement telemetry, device and app usage logs, and operational records generated at Controller's sites. Controller's sites include remote-monitoring clinics at which </w:t>
      </w:r>
      <w:r>
        <w:rPr>
          <w:b/>
        </w:rPr>
        <w:t>patient-associated information may be present in the operating environment.</w:t>
      </w:r>
      <w:r/>
    </w:p>
    <w:p>
      <w:pPr>
        <w:spacing w:before="200"/>
      </w:pPr>
      <w:r>
        <w:rPr>
          <w:b/>
          <w:sz w:val="24"/>
        </w:rPr>
        <w:t>3. Compliance</w:t>
      </w:r>
    </w:p>
    <w:p>
      <w:pPr>
        <w:jc w:val="both"/>
      </w:pPr>
      <w:r>
        <w:t xml:space="preserve">Each party shall comply with applicable data protection laws. </w:t>
      </w:r>
      <w:r>
        <w:rPr>
          <w:b/>
        </w:rPr>
        <w:t>This Agreement constitutes the parties' complete understanding regarding data protection, and no separate business associate agreement or health-data addendum is required.</w:t>
      </w:r>
      <w:r>
        <w:t xml:space="preserve"> Processor shall process data in accordance with this Agreement.</w:t>
      </w:r>
    </w:p>
    <w:p>
      <w:pPr>
        <w:spacing w:before="200"/>
      </w:pPr>
      <w:r>
        <w:rPr>
          <w:b/>
          <w:sz w:val="24"/>
        </w:rPr>
        <w:t>4. Security</w:t>
      </w:r>
    </w:p>
    <w:p>
      <w:pPr>
        <w:jc w:val="both"/>
      </w:pPr>
      <w:r>
        <w:t>Processor shall maintain administrative, technical, and physical safeguards appropriate to the data.</w:t>
      </w:r>
    </w:p>
    <w:p>
      <w:pPr>
        <w:spacing w:before="200"/>
      </w:pPr>
      <w:r>
        <w:rPr>
          <w:b/>
          <w:sz w:val="24"/>
        </w:rPr>
        <w:t>5. Breach notification</w:t>
      </w:r>
    </w:p>
    <w:p>
      <w:pPr>
        <w:jc w:val="both"/>
      </w:pPr>
      <w:r>
        <w:t xml:space="preserve">Processor shall notify Controller of any actual or suspected personal-data breach affecting Controller's data </w:t>
      </w:r>
      <w:r>
        <w:rPr>
          <w:b/>
        </w:rPr>
        <w:t>within twenty-four (24) hours</w:t>
      </w:r>
      <w:r>
        <w:t xml:space="preserve"> of Processor becoming aware of it, and shall provide a full root-cause analysis within seventy-two (72) hours.</w:t>
      </w:r>
    </w:p>
    <w:p>
      <w:pPr>
        <w:spacing w:before="200"/>
      </w:pPr>
      <w:r>
        <w:rPr>
          <w:b/>
          <w:sz w:val="24"/>
        </w:rPr>
        <w:t>6. Subprocessors</w:t>
      </w:r>
    </w:p>
    <w:p>
      <w:pPr>
        <w:jc w:val="both"/>
      </w:pPr>
      <w:r>
        <w:t xml:space="preserve">Processor shall not engage any subprocessor to process Controller's data without </w:t>
      </w:r>
      <w:r>
        <w:rPr>
          <w:b/>
        </w:rPr>
        <w:t>Controller's prior written consent for each such subprocessor.</w:t>
      </w:r>
      <w:r>
        <w:t xml:space="preserve"> Controller may withhold consent in its sole discretion. Processor remains liable for the acts and omissions of any approved subprocessor.</w:t>
      </w:r>
    </w:p>
    <w:p>
      <w:pPr>
        <w:spacing w:before="200"/>
      </w:pPr>
      <w:r>
        <w:rPr>
          <w:b/>
          <w:sz w:val="24"/>
        </w:rPr>
        <w:t>7. Data subject requests</w:t>
      </w:r>
    </w:p>
    <w:p>
      <w:pPr>
        <w:jc w:val="both"/>
      </w:pPr>
      <w:r>
        <w:t>Processor shall, within five (5) business days, forward to Controller any request it receives from a data subject relating to Controller's data, and shall not respond to the data subject directly except to confirm receipt and to direct the data subject to Controller.</w:t>
      </w:r>
    </w:p>
    <w:p>
      <w:pPr>
        <w:spacing w:before="200"/>
      </w:pPr>
      <w:r>
        <w:rPr>
          <w:b/>
          <w:sz w:val="24"/>
        </w:rPr>
        <w:t>8. Deletion</w:t>
      </w:r>
    </w:p>
    <w:p>
      <w:pPr>
        <w:jc w:val="both"/>
      </w:pPr>
      <w:r>
        <w:t>Upon termination, Processor shall delete or return all of Controller's data at Controller's election.</w:t>
      </w:r>
    </w:p>
    <w:p>
      <w:pPr>
        <w:spacing w:before="200"/>
      </w:pPr>
      <w:r>
        <w:rPr>
          <w:b/>
          <w:sz w:val="24"/>
        </w:rPr>
        <w:t>9. Liability</w:t>
      </w:r>
    </w:p>
    <w:p>
      <w:pPr>
        <w:jc w:val="both"/>
      </w:pPr>
      <w:r>
        <w:t xml:space="preserve">Each party's aggregate liability under the MSA is capped at fees paid in the prior twelve (12) months. </w:t>
      </w:r>
      <w:r>
        <w:rPr>
          <w:b/>
        </w:rPr>
        <w:t>The foregoing cap shall not apply to, and Processor's liability shall be unlimited for, any claim arising out of a personal-data breach or Processor's handling of Controller's data.</w:t>
      </w:r>
      <w:r/>
    </w:p>
    <w:p>
      <w:pPr>
        <w:spacing w:before="200"/>
      </w:pPr>
      <w:r>
        <w:rPr>
          <w:b/>
          <w:sz w:val="24"/>
        </w:rPr>
        <w:t>10. Governing law</w:t>
      </w:r>
    </w:p>
    <w:p>
      <w:pPr>
        <w:jc w:val="both"/>
      </w:pPr>
      <w:r>
        <w:t>This Agreement is governed by the laws of the State of Delaware.</w:t>
      </w:r>
    </w:p>
    <w:p/>
    <w:p>
      <w:r>
        <w:rPr>
          <w:i/>
          <w:sz w:val="18"/>
        </w:rPr>
        <w:t>FICTIONAL TEACHING DOCUMENT — created for the “Claude for Legal: A Guided Tour” course (Vanderbilt AI Law Lab). Every party, name, term, and date is invented for practice. This is not legal advice and not a model agreement; it deliberately contains problematic clauses for a contract-review exercise. Free to reuse for learning; no warranty of any kind.</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6" w:lineRule="auto"/>
    </w:pPr>
    <w:rPr>
      <w:rFonts w:ascii="Times New Roman" w:hAnsi="Times New Roman"/>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tellermark sablefield dpa</dc:title>
  <dc:subject/>
  <dc:creator>python-docx</dc:creator>
  <cp:keywords/>
  <dc:description>Fictional teaching document — Claude for Legal: A Guided Tour</dc:description>
  <cp:lastModifiedBy/>
  <cp:revision>1</cp:revision>
  <dcterms:created xsi:type="dcterms:W3CDTF">2013-12-23T23:15:00Z</dcterms:created>
  <dcterms:modified xsi:type="dcterms:W3CDTF">2013-12-23T23:15:00Z</dcterms:modified>
  <cp:category/>
</cp:coreProperties>
</file>