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b/>
          <w:sz w:val="28"/>
        </w:rPr>
        <w:t>SORTWELL ROBOTICS, INC.</w:t>
        <w:br/>
        <w:t>OFFICE OF THE GENERAL COUNSEL · 880 CALDERA PARKWAY, RENO, NV</w:t>
      </w:r>
    </w:p>
    <w:p>
      <w:pPr>
        <w:jc w:val="both"/>
      </w:pPr>
      <w:r>
        <w:t>June 2, 2026</w:t>
      </w:r>
    </w:p>
    <w:p>
      <w:pPr>
        <w:jc w:val="both"/>
      </w:pPr>
      <w:r/>
      <w:r>
        <w:rPr>
          <w:b/>
        </w:rPr>
        <w:t>VIA EMAIL AND CERTIFIED MAIL</w:t>
      </w:r>
      <w:r/>
    </w:p>
    <w:p>
      <w:pPr>
        <w:jc w:val="both"/>
      </w:pPr>
      <w:r>
        <w:t>General Counsel Sablefield Robotics, Inc. 1201 Foundry Street Nashville, TN</w:t>
      </w:r>
    </w:p>
    <w:p>
      <w:pPr>
        <w:jc w:val="both"/>
      </w:pPr>
      <w:r/>
      <w:r>
        <w:rPr>
          <w:b/>
        </w:rPr>
        <w:t>Re: Infringement of U.S. Patent No. 11,842,605 — Demand to Cease and Desist</w:t>
      </w:r>
      <w:r/>
    </w:p>
    <w:p>
      <w:pPr>
        <w:jc w:val="both"/>
      </w:pPr>
      <w:r>
        <w:t>Dear Counsel:</w:t>
      </w:r>
    </w:p>
    <w:p>
      <w:pPr>
        <w:jc w:val="both"/>
      </w:pPr>
      <w:r>
        <w:t xml:space="preserve">We write on behalf of Sortwell Robotics, Inc. (“Sortwell”), the owner by assignment of </w:t>
      </w:r>
      <w:r>
        <w:rPr>
          <w:b/>
        </w:rPr>
        <w:t>U.S. Patent No. 11,842,605</w:t>
      </w:r>
      <w:r>
        <w:t xml:space="preserve"> (“the ’605 Patent”), entitled </w:t>
      </w:r>
      <w:r>
        <w:rPr>
          <w:i/>
        </w:rPr>
        <w:t>“Adaptive Grip-Force Modulation for Robotic End Effectors.”</w:t>
      </w:r>
      <w:r>
        <w:t xml:space="preserve"> The ’605 Patent issued on November 19, 2024, and remains in full force.</w:t>
      </w:r>
    </w:p>
    <w:p>
      <w:pPr>
        <w:jc w:val="both"/>
      </w:pPr>
      <w:r>
        <w:t xml:space="preserve">It has come to Sortwell's attention that Sablefield Robotics, Inc. (“Sablefield”) manufactures, offers for sale, and sells industrial robots incorporating an end-effector module marketed as </w:t>
      </w:r>
      <w:r>
        <w:rPr>
          <w:b/>
        </w:rPr>
        <w:t>“GripSense,”</w:t>
      </w:r>
      <w:r>
        <w:t xml:space="preserve"> including on Sablefield's SF-300 and SF-340 platforms. Based on Sablefield's published product documentation and marketing materials, Sortwell believes the GripSense module practices one or more claims of the ’605 Patent, </w:t>
      </w:r>
      <w:r>
        <w:rPr>
          <w:b/>
        </w:rPr>
        <w:t>including at least independent claim 1</w:t>
      </w:r>
      <w:r>
        <w:t>.</w:t>
      </w:r>
    </w:p>
    <w:p>
      <w:pPr>
        <w:jc w:val="both"/>
      </w:pPr>
      <w:r>
        <w:t>Sortwell therefore demands that Sablefield:</w:t>
      </w:r>
    </w:p>
    <w:p>
      <w:pPr>
        <w:jc w:val="both"/>
      </w:pPr>
      <w:r>
        <w:t xml:space="preserve">1. </w:t>
      </w:r>
      <w:r>
        <w:rPr>
          <w:b/>
        </w:rPr>
        <w:t>Immediately cease and desist</w:t>
      </w:r>
      <w:r>
        <w:t xml:space="preserve"> from the manufacture, use, offer for sale, sale, and importation    of the GripSense module and any substantially similar adaptive grip-force technology; 2. Provide a </w:t>
      </w:r>
      <w:r>
        <w:rPr>
          <w:b/>
        </w:rPr>
        <w:t>written accounting</w:t>
      </w:r>
      <w:r>
        <w:t xml:space="preserve"> of all units of the SF-300 and SF-340 incorporating GripSense    sold to date, including dates, quantities, and revenue; 3. Confirm in writing, </w:t>
      </w:r>
      <w:r>
        <w:rPr>
          <w:b/>
        </w:rPr>
        <w:t>within twenty-one (21) days of the date of this letter</w:t>
      </w:r>
      <w:r>
        <w:t>, that Sablefield    has complied with the demands above.</w:t>
      </w:r>
    </w:p>
    <w:p>
      <w:pPr>
        <w:jc w:val="both"/>
      </w:pPr>
      <w:r/>
      <w:r>
        <w:rPr>
          <w:b/>
        </w:rPr>
        <w:t>Preservation notice.</w:t>
      </w:r>
      <w:r>
        <w:t xml:space="preserve"> Litigation is reasonably foreseeable. Sablefield is hereby on notice of its obligation to preserve all documents, communications, source code, design files, test data, and electronically stored information relating to the design, development, marketing, and sale of GripSense and the SF-300/SF-340 platforms, including materials in the possession of employees, contractors, and agents.</w:t>
      </w:r>
    </w:p>
    <w:p>
      <w:pPr>
        <w:jc w:val="both"/>
      </w:pPr>
      <w:r>
        <w:t xml:space="preserve">Absent timely compliance, Sortwell is prepared to enforce its rights through an action for patent infringement in the United States District Court for the District of Delaware, where it will seek injunctive relief, damages (including enhanced damages for willful infringement), and its costs and attorneys' fees, and to pursue </w:t>
      </w:r>
      <w:r>
        <w:rPr>
          <w:b/>
        </w:rPr>
        <w:t>all other available remedies</w:t>
      </w:r>
      <w:r>
        <w:t>.</w:t>
      </w:r>
    </w:p>
    <w:p>
      <w:pPr>
        <w:jc w:val="both"/>
      </w:pPr>
      <w:r>
        <w:t xml:space="preserve">Sortwell notes, without waiving any rights, that it has in appropriate circumstances </w:t>
      </w:r>
      <w:r>
        <w:rPr>
          <w:b/>
        </w:rPr>
        <w:t>licensed the ’605 Patent on commercially reasonable terms</w:t>
      </w:r>
      <w:r>
        <w:t>, and remains open to a business discussion should Sablefield wish to pursue one promptly.</w:t>
      </w:r>
    </w:p>
    <w:p>
      <w:pPr>
        <w:jc w:val="both"/>
      </w:pPr>
      <w:r>
        <w:t>This letter is written without prejudice to, and with full reservation of, all of Sortwell's rights and remedies, none of which are waived.</w:t>
      </w:r>
    </w:p>
    <w:p>
      <w:pPr>
        <w:jc w:val="both"/>
      </w:pPr>
      <w:r>
        <w:t>Very truly yours,</w:t>
      </w:r>
    </w:p>
    <w:p>
      <w:pPr>
        <w:jc w:val="both"/>
      </w:pPr>
      <w:r>
        <w:t>R. Calloway Vice President &amp; General Counsel Sortwell Robotics, Inc.</w:t>
      </w:r>
    </w:p>
    <w:p/>
    <w:p>
      <w:r>
        <w:rPr>
          <w:i/>
          <w:sz w:val="18"/>
        </w:rPr>
        <w:t>FICTIONAL TEACHING DOCUMENT — created for the “Claude for Legal: A Guided Tour” course (Vanderbilt AI Law Lab). Every party, name, term, and date is invented for practice. This is not legal advice and not a model agreement; it deliberately contains problematic clauses for a contract-review exercise. Free to reuse for learning; no warranty of any kind.</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Times New Roman" w:hAnsi="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sortwell demand letter</dc:title>
  <dc:subject/>
  <dc:creator>python-docx</dc:creator>
  <cp:keywords/>
  <dc:description>Fictional teaching document — Claude for Legal: A Guided Tour</dc:description>
  <cp:lastModifiedBy/>
  <cp:revision>1</cp:revision>
  <dcterms:created xsi:type="dcterms:W3CDTF">2013-12-23T23:15:00Z</dcterms:created>
  <dcterms:modified xsi:type="dcterms:W3CDTF">2013-12-23T23:15:00Z</dcterms:modified>
  <cp:category/>
</cp:coreProperties>
</file>