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28"/>
        </w:rPr>
        <w:t>U.S. PATENT NO. 11,842,605 (THE "'605 PATENT") — CLAIMS EXCERPT</w:t>
      </w:r>
    </w:p>
    <w:p>
      <w:pPr>
        <w:jc w:val="both"/>
      </w:pPr>
      <w:r/>
      <w:r>
        <w:rPr>
          <w:b/>
        </w:rPr>
        <w:t>Title:</w:t>
      </w:r>
      <w:r>
        <w:t xml:space="preserve"> Adaptive Grip-Force Modulation for Robotic End Effectors </w:t>
      </w:r>
      <w:r>
        <w:rPr>
          <w:b/>
        </w:rPr>
        <w:t>Assignee (by assignment):</w:t>
      </w:r>
      <w:r>
        <w:t xml:space="preserve"> Sortwell Robotics, Inc. </w:t>
      </w:r>
      <w:r>
        <w:rPr>
          <w:b/>
        </w:rPr>
        <w:t>Issued:</w:t>
      </w:r>
      <w:r>
        <w:t xml:space="preserve"> November 19, 2024</w:t>
      </w:r>
    </w:p>
    <w:p>
      <w:pPr>
        <w:ind w:left="576" w:right="576"/>
      </w:pPr>
      <w:r>
        <w:t>This is a partial excerpt — independent claim 1 and selected dependent claims, plus a short specification passage — provided so the GripSense module can be charted against the asserted claims. The full patent, file history, and figures are not reproduced here.</w:t>
      </w:r>
    </w:p>
    <w:p>
      <w:pPr>
        <w:spacing w:before="200"/>
      </w:pPr>
      <w:r>
        <w:rPr>
          <w:b/>
          <w:sz w:val="24"/>
        </w:rPr>
        <w:t>What is claimed</w:t>
      </w:r>
    </w:p>
    <w:p>
      <w:pPr>
        <w:jc w:val="both"/>
      </w:pPr>
      <w:r/>
      <w:r>
        <w:rPr>
          <w:b/>
        </w:rPr>
        <w:t>Claim 1.</w:t>
      </w:r>
      <w:r>
        <w:t xml:space="preserve"> A robotic end effector, comprising:</w:t>
      </w:r>
    </w:p>
    <w:p>
      <w:pPr>
        <w:pStyle w:val="ListBullet"/>
      </w:pPr>
      <w:r>
        <w:t>a gripper body carrying a plurality of opposing jaw members movable toward and away from one another to grasp a workpiece;</w:t>
      </w:r>
    </w:p>
    <w:p>
      <w:pPr>
        <w:pStyle w:val="ListBullet"/>
      </w:pPr>
      <w:r>
        <w:t>at least one force sensor coupled to a jaw member and configured to generate a contact-force signal representative of a grip force applied by the jaw members to the workpiece;</w:t>
      </w:r>
    </w:p>
    <w:p>
      <w:pPr>
        <w:pStyle w:val="ListBullet"/>
      </w:pPr>
      <w:r>
        <w:t>an actuator operatively coupled to the jaw members and configured to drive the jaw members in response to a drive command;</w:t>
      </w:r>
    </w:p>
    <w:p>
      <w:pPr>
        <w:pStyle w:val="ListBullet"/>
      </w:pPr>
      <w:r>
        <w:t>a memory storing a plurality of grip-force profiles, each grip-force profile being associated with a respective workpiece class and specifying a target grip-force value for that class; and</w:t>
      </w:r>
    </w:p>
    <w:p>
      <w:pPr>
        <w:pStyle w:val="ListBullet"/>
      </w:pPr>
      <w:r>
        <w:t>a controller in communication with the force sensor, the memory, and the actuator, the controller configured to (i) identify a workpiece class of the workpiece, (ii) select, from the memory, the target grip-force value of the grip-force profile associated with the identified workpiece class, (iii) compare the contact-force signal to the selected target grip-force value, and (iv) issue the drive command so as to maintain the grip force within a tolerance band of the selected target grip-force value.</w:t>
      </w:r>
    </w:p>
    <w:p>
      <w:pPr>
        <w:jc w:val="both"/>
      </w:pPr>
      <w:r/>
      <w:r>
        <w:rPr>
          <w:b/>
        </w:rPr>
        <w:t>Claim 2.</w:t>
      </w:r>
      <w:r>
        <w:t xml:space="preserve"> The robotic end effector of claim 1, wherein the at least one force sensor comprises a capacitive tactile array disposed on a contact surface of the jaw member.</w:t>
      </w:r>
    </w:p>
    <w:p>
      <w:pPr>
        <w:jc w:val="both"/>
      </w:pPr>
      <w:r/>
      <w:r>
        <w:rPr>
          <w:b/>
        </w:rPr>
        <w:t>Claim 3.</w:t>
      </w:r>
      <w:r>
        <w:t xml:space="preserve"> The robotic end effector of claim 1, wherein the controller is configured to issue the drive command at an update rate of at least 100 Hz.</w:t>
      </w:r>
    </w:p>
    <w:p>
      <w:pPr>
        <w:jc w:val="both"/>
      </w:pPr>
      <w:r/>
      <w:r>
        <w:rPr>
          <w:b/>
        </w:rPr>
        <w:t>Claim 4.</w:t>
      </w:r>
      <w:r>
        <w:t xml:space="preserve"> The robotic end effector of claim 1, wherein the controller updates at least one of the grip-force profiles using a machine-learning model trained on contact-force signals recorded during prior grasping operations.</w:t>
      </w:r>
    </w:p>
    <w:p>
      <w:pPr>
        <w:jc w:val="both"/>
      </w:pPr>
      <w:r/>
      <w:r>
        <w:rPr>
          <w:b/>
        </w:rPr>
        <w:t>Claim 5.</w:t>
      </w:r>
      <w:r>
        <w:t xml:space="preserve"> The robotic end effector of claim 1, wherein the tolerance band is adjustable by an operator through a configuration interface.</w:t>
      </w:r>
    </w:p>
    <w:p>
      <w:pPr>
        <w:spacing w:before="200"/>
      </w:pPr>
      <w:r>
        <w:rPr>
          <w:b/>
          <w:sz w:val="24"/>
        </w:rPr>
        <w:t>Specification — excerpt (col. 4, ll. 12–38)</w:t>
      </w:r>
    </w:p>
    <w:p>
      <w:pPr>
        <w:ind w:left="576" w:right="576"/>
      </w:pPr>
      <w:r>
        <w:t>In some embodiments the controller identifies the workpiece class from an upstream vision system; in other embodiments the operator selects the class from a stored list. The grip-force profiles need not be exhaustive — where a sensed workpiece does not match a stored profile, the controller may apply a default target grip-force value and flag the event for later profiling. The term "force sensor" is used broadly and encompasses any transducer that produces a signal varying with applied contact force, including, without limitation, strain-gauge, piezoresistive, and capacitive sensing elements. The term "workpiece class" refers to a grouping of workpieces sharing handling characteristics (for example, "rigid," "deformable," or a material- or part-specific designation) and does not require any particular taxonomy.</w:t>
      </w:r>
    </w:p>
    <w:p>
      <w:pPr>
        <w:spacing w:before="200"/>
      </w:pPr>
      <w:r>
        <w:rPr>
          <w:b/>
          <w:sz w:val="24"/>
        </w:rPr>
        <w:t>Prosecution note (excerpt)</w:t>
      </w:r>
    </w:p>
    <w:p>
      <w:pPr>
        <w:ind w:left="576" w:right="576"/>
      </w:pPr>
      <w:r>
        <w:t xml:space="preserve">During prosecution, the applicant distinguished the prior art by arguing that the claimed controller selects a target grip-force value </w:t>
      </w:r>
      <w:r>
        <w:rPr>
          <w:i/>
        </w:rPr>
        <w:t>from a stored profile associated with a workpiece class</w:t>
      </w:r>
      <w:r>
        <w:t>, rather than computing a single fixed setpoint. The examiner allowed the claims after this amendment.</w:t>
      </w:r>
    </w:p>
    <w:p/>
    <w:p>
      <w:r>
        <w:rPr>
          <w:i/>
          <w:sz w:val="18"/>
        </w:rPr>
        <w:t>FICTIONAL TEACHING DOCUMENT — created for the “Claude for Legal: A Guided Tour” course (Vanderbilt AI Law Lab). Every party, name, term, and date is invented for practice. This is not legal advice and not a model agreement; it deliberately contains problematic clauses for a contract-review exercise. Free to reuse for learning; no warranty of any kind.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sortwell 605 claim</dc:title>
  <dc:subject/>
  <dc:creator>python-docx</dc:creator>
  <cp:keywords/>
  <dc:description>Fictional teaching document — Claude for Legal: A Guided Tour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